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96601"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淡菜</w:t>
      </w:r>
    </w:p>
    <w:p w14:paraId="422C0B68">
      <w:pPr>
        <w:spacing w:line="360" w:lineRule="auto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Dancai</w:t>
      </w:r>
    </w:p>
    <w:p w14:paraId="3AB439E3">
      <w:pPr>
        <w:spacing w:line="360" w:lineRule="auto"/>
        <w:jc w:val="center"/>
        <w:rPr>
          <w:rFonts w:hint="default" w:ascii="Times New Roman" w:hAnsi="Times New Roman" w:eastAsia="黑体" w:cs="Times New Roman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t>PERNA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val="en-US" w:eastAsia="zh-CN"/>
        </w:rPr>
        <w:t>E</w:t>
      </w:r>
      <w:r>
        <w:rPr>
          <w:rFonts w:ascii="Times New Roman" w:hAnsi="Times New Roman" w:eastAsia="黑体" w:cs="Times New Roman"/>
          <w:b/>
          <w:bCs/>
          <w:sz w:val="28"/>
          <w:szCs w:val="28"/>
        </w:rPr>
        <w:t xml:space="preserve"> VIRIDIS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val="en-US" w:eastAsia="zh-CN"/>
        </w:rPr>
        <w:t xml:space="preserve"> MUSCULUS</w:t>
      </w:r>
    </w:p>
    <w:p w14:paraId="72E1954F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本品为贻贝科动物翡翠股贻贝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Perna viridis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L.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的干燥软体部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  <w:r>
        <w:rPr>
          <w:rFonts w:ascii="Times New Roman" w:hAnsi="Times New Roman" w:eastAsia="宋体" w:cs="Times New Roman"/>
          <w:sz w:val="24"/>
          <w:szCs w:val="24"/>
        </w:rPr>
        <w:t>取软体部，干燥。</w:t>
      </w:r>
    </w:p>
    <w:p w14:paraId="588C63B8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【性状】</w:t>
      </w:r>
      <w:r>
        <w:rPr>
          <w:rFonts w:hint="eastAsia" w:ascii="Times New Roman" w:hAnsi="Times New Roman" w:eastAsia="宋体" w:cs="Times New Roman"/>
          <w:sz w:val="24"/>
          <w:szCs w:val="24"/>
        </w:rPr>
        <w:t>本品呈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类椭</w:t>
      </w:r>
      <w:r>
        <w:rPr>
          <w:rFonts w:hint="eastAsia" w:ascii="Times New Roman" w:hAnsi="Times New Roman" w:eastAsia="宋体" w:cs="Times New Roman"/>
          <w:sz w:val="24"/>
          <w:szCs w:val="24"/>
        </w:rPr>
        <w:t>圆形，长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～5cm，宽1～3cm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</w:rPr>
        <w:t>表面黄色至黄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棕</w:t>
      </w:r>
      <w:r>
        <w:rPr>
          <w:rFonts w:hint="eastAsia" w:ascii="Times New Roman" w:hAnsi="Times New Roman" w:eastAsia="宋体" w:cs="Times New Roman"/>
          <w:sz w:val="24"/>
          <w:szCs w:val="24"/>
        </w:rPr>
        <w:t>色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光泽而油润，肉质肥厚，褶边黑褐色。闭壳肌大而圆，颜色稍淡。</w:t>
      </w:r>
      <w:r>
        <w:rPr>
          <w:rFonts w:hint="eastAsia" w:ascii="Times New Roman" w:hAnsi="Times New Roman" w:eastAsia="宋体" w:cs="Times New Roman"/>
          <w:sz w:val="24"/>
          <w:szCs w:val="24"/>
        </w:rPr>
        <w:t>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坚实</w:t>
      </w:r>
      <w:r>
        <w:rPr>
          <w:rFonts w:hint="eastAsia" w:ascii="Times New Roman" w:hAnsi="Times New Roman" w:eastAsia="宋体" w:cs="Times New Roman"/>
          <w:sz w:val="24"/>
          <w:szCs w:val="24"/>
        </w:rPr>
        <w:t>。气微腥，味咸。</w:t>
      </w:r>
    </w:p>
    <w:p w14:paraId="7E06430F">
      <w:pPr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【鉴别】</w:t>
      </w:r>
      <w:bookmarkStart w:id="0" w:name="OLE_LINK29"/>
      <w:bookmarkStart w:id="1" w:name="OLE_LINK30"/>
      <w:bookmarkStart w:id="2" w:name="OLE_LINK31"/>
      <w:bookmarkStart w:id="3" w:name="OLE_LINK32"/>
      <w:r>
        <w:rPr>
          <w:rFonts w:ascii="Times New Roman" w:hAnsi="Times New Roman" w:eastAsia="宋体" w:cs="Times New Roman"/>
          <w:sz w:val="24"/>
        </w:rPr>
        <w:t>取本品粉末1g，加70%乙醇5ml，超声处理30分钟，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离心</w:t>
      </w:r>
      <w:r>
        <w:rPr>
          <w:rFonts w:hint="eastAsia" w:ascii="Times New Roman" w:hAnsi="Times New Roman" w:eastAsia="宋体" w:cs="Times New Roman"/>
          <w:sz w:val="24"/>
        </w:rPr>
        <w:t>，取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上清液</w:t>
      </w:r>
      <w:r>
        <w:rPr>
          <w:rFonts w:ascii="Times New Roman" w:hAnsi="Times New Roman" w:eastAsia="宋体" w:cs="Times New Roman"/>
          <w:sz w:val="24"/>
        </w:rPr>
        <w:t>作为供试品溶液</w:t>
      </w:r>
      <w:bookmarkEnd w:id="0"/>
      <w:bookmarkEnd w:id="1"/>
      <w:r>
        <w:rPr>
          <w:rFonts w:ascii="Times New Roman" w:hAnsi="Times New Roman" w:eastAsia="宋体" w:cs="Times New Roman"/>
          <w:sz w:val="24"/>
        </w:rPr>
        <w:t>。另取谷氨酸对照品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、</w:t>
      </w:r>
      <w:r>
        <w:rPr>
          <w:rFonts w:ascii="Times New Roman" w:hAnsi="Times New Roman" w:eastAsia="宋体" w:cs="Times New Roman"/>
          <w:sz w:val="24"/>
        </w:rPr>
        <w:t>亮氨酸对照品，</w:t>
      </w:r>
      <w:bookmarkStart w:id="4" w:name="OLE_LINK1"/>
      <w:r>
        <w:rPr>
          <w:rFonts w:ascii="Times New Roman" w:hAnsi="Times New Roman" w:eastAsia="宋体" w:cs="Times New Roman"/>
          <w:sz w:val="24"/>
        </w:rPr>
        <w:t>加</w:t>
      </w:r>
      <w:r>
        <w:rPr>
          <w:rFonts w:hint="eastAsia" w:ascii="Times New Roman" w:hAnsi="Times New Roman" w:eastAsia="宋体" w:cs="Times New Roman"/>
          <w:sz w:val="24"/>
        </w:rPr>
        <w:t>7</w:t>
      </w:r>
      <w:r>
        <w:rPr>
          <w:rFonts w:ascii="Times New Roman" w:hAnsi="Times New Roman" w:eastAsia="宋体" w:cs="Times New Roman"/>
          <w:sz w:val="24"/>
        </w:rPr>
        <w:t>0%乙醇制成每1ml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分别</w:t>
      </w:r>
      <w:r>
        <w:rPr>
          <w:rFonts w:ascii="Times New Roman" w:hAnsi="Times New Roman" w:eastAsia="宋体" w:cs="Times New Roman"/>
          <w:sz w:val="24"/>
        </w:rPr>
        <w:t>含1mg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、</w:t>
      </w:r>
      <w:r>
        <w:rPr>
          <w:rFonts w:ascii="Times New Roman" w:hAnsi="Times New Roman" w:eastAsia="宋体" w:cs="Times New Roman"/>
          <w:sz w:val="24"/>
        </w:rPr>
        <w:t>0.25mg的溶液</w:t>
      </w:r>
      <w:bookmarkEnd w:id="4"/>
      <w:r>
        <w:rPr>
          <w:rFonts w:ascii="Times New Roman" w:hAnsi="Times New Roman" w:eastAsia="宋体" w:cs="Times New Roman"/>
          <w:sz w:val="24"/>
        </w:rPr>
        <w:t>，作为对照品溶液。照薄层色谱法（《中国药典》2025版通则0502）试验，吸取上述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三种</w:t>
      </w:r>
      <w:r>
        <w:rPr>
          <w:rFonts w:ascii="Times New Roman" w:hAnsi="Times New Roman" w:eastAsia="宋体" w:cs="Times New Roman"/>
          <w:sz w:val="24"/>
        </w:rPr>
        <w:t>溶液各2μl，分别点于同一硅胶G薄层板上，以</w:t>
      </w:r>
      <w:bookmarkStart w:id="5" w:name="OLE_LINK10"/>
      <w:r>
        <w:rPr>
          <w:rFonts w:ascii="Times New Roman" w:hAnsi="Times New Roman" w:eastAsia="宋体" w:cs="Times New Roman"/>
          <w:sz w:val="24"/>
        </w:rPr>
        <w:t>正丁醇-冰醋酸-水（3</w:t>
      </w:r>
      <w:r>
        <w:rPr>
          <w:rFonts w:hint="eastAsia" w:ascii="宋体" w:hAnsi="宋体" w:eastAsia="宋体" w:cs="宋体"/>
          <w:sz w:val="24"/>
        </w:rPr>
        <w:t>:</w:t>
      </w:r>
      <w:r>
        <w:rPr>
          <w:rFonts w:ascii="Times New Roman" w:hAnsi="Times New Roman" w:eastAsia="宋体" w:cs="Times New Roman"/>
          <w:sz w:val="24"/>
        </w:rPr>
        <w:t>1.5</w:t>
      </w:r>
      <w:r>
        <w:rPr>
          <w:rFonts w:hint="eastAsia" w:ascii="宋体" w:hAnsi="宋体" w:eastAsia="宋体" w:cs="宋体"/>
          <w:sz w:val="24"/>
        </w:rPr>
        <w:t>:</w:t>
      </w:r>
      <w:r>
        <w:rPr>
          <w:rFonts w:ascii="Times New Roman" w:hAnsi="Times New Roman" w:eastAsia="宋体" w:cs="Times New Roman"/>
          <w:sz w:val="24"/>
        </w:rPr>
        <w:t>1）</w:t>
      </w:r>
      <w:bookmarkEnd w:id="5"/>
      <w:r>
        <w:rPr>
          <w:rFonts w:ascii="Times New Roman" w:hAnsi="Times New Roman" w:eastAsia="宋体" w:cs="Times New Roman"/>
          <w:sz w:val="24"/>
        </w:rPr>
        <w:t>为展开剂，展开，取出，晾干，喷以茚三酮试液，在105℃加热至斑点显色清晰。供试品色谱中，在与对照品色谱相应的位置上，显相同颜色的斑点。</w:t>
      </w:r>
    </w:p>
    <w:bookmarkEnd w:id="2"/>
    <w:bookmarkEnd w:id="3"/>
    <w:p w14:paraId="00011856">
      <w:pPr>
        <w:spacing w:line="360" w:lineRule="auto"/>
        <w:ind w:firstLine="480" w:firstLineChars="200"/>
        <w:rPr>
          <w:rFonts w:eastAsia="宋体"/>
          <w:sz w:val="24"/>
          <w:highlight w:val="none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【检查】</w:t>
      </w:r>
      <w:bookmarkStart w:id="6" w:name="OLE_LINK196"/>
      <w:bookmarkStart w:id="7" w:name="OLE_LINK195"/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水</w:t>
      </w:r>
      <w:bookmarkStart w:id="8" w:name="_GoBack"/>
      <w:bookmarkEnd w:id="8"/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分</w:t>
      </w:r>
      <w:bookmarkEnd w:id="6"/>
      <w:bookmarkEnd w:id="7"/>
      <w:r>
        <w:rPr>
          <w:rFonts w:eastAsia="宋体"/>
          <w:sz w:val="24"/>
        </w:rPr>
        <w:t xml:space="preserve">  </w:t>
      </w:r>
      <w:r>
        <w:rPr>
          <w:rFonts w:hAnsi="宋体" w:eastAsia="宋体"/>
          <w:sz w:val="24"/>
          <w:highlight w:val="none"/>
        </w:rPr>
        <w:t>不得过</w:t>
      </w:r>
      <w:r>
        <w:rPr>
          <w:rFonts w:ascii="Times New Roman" w:hAnsi="Times New Roman" w:eastAsia="宋体"/>
          <w:sz w:val="24"/>
          <w:highlight w:val="none"/>
        </w:rPr>
        <w:t>1</w:t>
      </w:r>
      <w:r>
        <w:rPr>
          <w:rFonts w:hint="eastAsia" w:ascii="Times New Roman" w:hAnsi="Times New Roman" w:eastAsia="宋体"/>
          <w:sz w:val="24"/>
          <w:highlight w:val="none"/>
        </w:rPr>
        <w:t>5</w:t>
      </w:r>
      <w:r>
        <w:rPr>
          <w:rFonts w:ascii="Times New Roman" w:hAnsi="Times New Roman" w:eastAsia="宋体"/>
          <w:sz w:val="24"/>
          <w:highlight w:val="none"/>
        </w:rPr>
        <w:t>.0</w:t>
      </w:r>
      <w:r>
        <w:rPr>
          <w:rFonts w:hint="eastAsia" w:hAnsi="宋体" w:eastAsia="宋体"/>
          <w:sz w:val="24"/>
          <w:highlight w:val="none"/>
          <w:lang w:val="en-US" w:eastAsia="zh-CN"/>
        </w:rPr>
        <w:t>%</w:t>
      </w:r>
      <w:r>
        <w:rPr>
          <w:rFonts w:hAnsi="宋体" w:eastAsia="宋体"/>
          <w:sz w:val="24"/>
          <w:highlight w:val="none"/>
        </w:rPr>
        <w:t>（</w:t>
      </w:r>
      <w:r>
        <w:rPr>
          <w:rFonts w:ascii="Times New Roman" w:hAnsi="Times New Roman" w:eastAsia="宋体" w:cs="Times New Roman"/>
          <w:sz w:val="24"/>
          <w:highlight w:val="none"/>
        </w:rPr>
        <w:t>《中国药典》</w:t>
      </w:r>
      <w:r>
        <w:rPr>
          <w:rFonts w:ascii="Times New Roman" w:hAnsi="Times New Roman" w:eastAsia="宋体"/>
          <w:sz w:val="24"/>
          <w:highlight w:val="none"/>
        </w:rPr>
        <w:t>20</w:t>
      </w:r>
      <w:r>
        <w:rPr>
          <w:rFonts w:ascii="Times New Roman" w:hAnsi="Times New Roman"/>
          <w:sz w:val="24"/>
          <w:highlight w:val="none"/>
        </w:rPr>
        <w:t>2</w:t>
      </w:r>
      <w:r>
        <w:rPr>
          <w:rFonts w:hint="eastAsia" w:ascii="Times New Roman" w:hAnsi="Times New Roman"/>
          <w:sz w:val="24"/>
          <w:highlight w:val="none"/>
        </w:rPr>
        <w:t>5</w:t>
      </w:r>
      <w:r>
        <w:rPr>
          <w:rFonts w:hAnsi="宋体" w:eastAsia="宋体"/>
          <w:sz w:val="24"/>
          <w:highlight w:val="none"/>
        </w:rPr>
        <w:t>年版</w:t>
      </w:r>
      <w:r>
        <w:rPr>
          <w:rFonts w:hint="eastAsia" w:hAnsi="宋体" w:eastAsia="宋体"/>
          <w:sz w:val="24"/>
          <w:highlight w:val="none"/>
        </w:rPr>
        <w:t>通则</w:t>
      </w:r>
      <w:r>
        <w:rPr>
          <w:rFonts w:ascii="Times New Roman" w:hAnsi="Times New Roman" w:eastAsia="宋体"/>
          <w:sz w:val="24"/>
          <w:highlight w:val="none"/>
        </w:rPr>
        <w:t>0832</w:t>
      </w:r>
      <w:r>
        <w:rPr>
          <w:rFonts w:hint="eastAsia" w:hAnsi="宋体" w:eastAsia="宋体"/>
          <w:sz w:val="24"/>
          <w:highlight w:val="none"/>
        </w:rPr>
        <w:t>第二法</w:t>
      </w:r>
      <w:r>
        <w:rPr>
          <w:rFonts w:hAnsi="宋体" w:eastAsia="宋体"/>
          <w:sz w:val="24"/>
          <w:highlight w:val="none"/>
        </w:rPr>
        <w:t>）</w:t>
      </w:r>
      <w:r>
        <w:rPr>
          <w:rFonts w:hint="eastAsia" w:hAnsi="宋体" w:eastAsia="宋体"/>
          <w:sz w:val="24"/>
          <w:highlight w:val="none"/>
          <w:lang w:eastAsia="zh-CN"/>
        </w:rPr>
        <w:t>；</w:t>
      </w:r>
    </w:p>
    <w:p w14:paraId="48EC9AD3">
      <w:pPr>
        <w:spacing w:line="360" w:lineRule="auto"/>
        <w:ind w:firstLine="597" w:firstLineChars="249"/>
        <w:rPr>
          <w:rFonts w:hAnsi="宋体" w:eastAsia="宋体"/>
          <w:sz w:val="24"/>
          <w:highlight w:val="none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highlight w:val="none"/>
        </w:rPr>
        <w:t>总灰分</w:t>
      </w:r>
      <w:r>
        <w:rPr>
          <w:rFonts w:eastAsia="宋体"/>
          <w:sz w:val="24"/>
          <w:highlight w:val="none"/>
        </w:rPr>
        <w:t xml:space="preserve"> </w:t>
      </w:r>
      <w:r>
        <w:rPr>
          <w:rFonts w:hint="eastAsia"/>
          <w:sz w:val="24"/>
          <w:highlight w:val="none"/>
        </w:rPr>
        <w:t xml:space="preserve"> </w:t>
      </w:r>
      <w:r>
        <w:rPr>
          <w:rFonts w:hAnsi="宋体" w:eastAsia="宋体"/>
          <w:sz w:val="24"/>
          <w:highlight w:val="none"/>
        </w:rPr>
        <w:t>不得过</w:t>
      </w:r>
      <w:r>
        <w:rPr>
          <w:rFonts w:hint="eastAsia" w:ascii="Times New Roman" w:hAnsi="Times New Roman"/>
          <w:sz w:val="24"/>
          <w:highlight w:val="none"/>
        </w:rPr>
        <w:t>12</w:t>
      </w:r>
      <w:r>
        <w:rPr>
          <w:rFonts w:ascii="Times New Roman" w:hAnsi="Times New Roman" w:eastAsia="宋体"/>
          <w:sz w:val="24"/>
          <w:highlight w:val="none"/>
        </w:rPr>
        <w:t>.0</w:t>
      </w:r>
      <w:r>
        <w:rPr>
          <w:rFonts w:hint="eastAsia" w:hAnsi="宋体" w:eastAsia="宋体"/>
          <w:sz w:val="24"/>
          <w:highlight w:val="none"/>
          <w:lang w:val="en-US" w:eastAsia="zh-CN"/>
        </w:rPr>
        <w:t>%</w:t>
      </w:r>
      <w:r>
        <w:rPr>
          <w:rFonts w:hAnsi="宋体" w:eastAsia="宋体"/>
          <w:sz w:val="24"/>
          <w:highlight w:val="none"/>
        </w:rPr>
        <w:t>（</w:t>
      </w:r>
      <w:r>
        <w:rPr>
          <w:rFonts w:ascii="Times New Roman" w:hAnsi="Times New Roman" w:eastAsia="宋体" w:cs="Times New Roman"/>
          <w:sz w:val="24"/>
          <w:highlight w:val="none"/>
        </w:rPr>
        <w:t>《中国药典》</w:t>
      </w:r>
      <w:r>
        <w:rPr>
          <w:rFonts w:ascii="Times New Roman" w:hAnsi="Times New Roman" w:eastAsia="宋体"/>
          <w:sz w:val="24"/>
          <w:highlight w:val="none"/>
        </w:rPr>
        <w:t>20</w:t>
      </w:r>
      <w:r>
        <w:rPr>
          <w:rFonts w:ascii="Times New Roman" w:hAnsi="Times New Roman"/>
          <w:sz w:val="24"/>
          <w:highlight w:val="none"/>
        </w:rPr>
        <w:t>2</w:t>
      </w:r>
      <w:r>
        <w:rPr>
          <w:rFonts w:hint="eastAsia" w:ascii="Times New Roman" w:hAnsi="Times New Roman"/>
          <w:sz w:val="24"/>
          <w:highlight w:val="none"/>
        </w:rPr>
        <w:t>5</w:t>
      </w:r>
      <w:r>
        <w:rPr>
          <w:rFonts w:hAnsi="宋体" w:eastAsia="宋体"/>
          <w:sz w:val="24"/>
          <w:highlight w:val="none"/>
        </w:rPr>
        <w:t>年版</w:t>
      </w:r>
      <w:r>
        <w:rPr>
          <w:rFonts w:hint="eastAsia" w:hAnsi="宋体" w:eastAsia="宋体"/>
          <w:sz w:val="24"/>
          <w:highlight w:val="none"/>
        </w:rPr>
        <w:t>通则</w:t>
      </w:r>
      <w:r>
        <w:rPr>
          <w:rFonts w:hint="eastAsia" w:ascii="Times New Roman" w:hAnsi="Times New Roman" w:eastAsia="宋体"/>
          <w:sz w:val="24"/>
          <w:highlight w:val="none"/>
        </w:rPr>
        <w:t>2302</w:t>
      </w:r>
      <w:r>
        <w:rPr>
          <w:rFonts w:hAnsi="宋体" w:eastAsia="宋体"/>
          <w:sz w:val="24"/>
          <w:highlight w:val="none"/>
        </w:rPr>
        <w:t>）。</w:t>
      </w:r>
    </w:p>
    <w:p w14:paraId="0F705BDD">
      <w:pPr>
        <w:spacing w:line="360" w:lineRule="auto"/>
        <w:ind w:left="239" w:leftChars="114" w:firstLine="357" w:firstLineChars="149"/>
        <w:rPr>
          <w:rFonts w:ascii="黑体" w:hAnsi="黑体" w:eastAsia="黑体" w:cs="黑体"/>
          <w:b/>
          <w:sz w:val="24"/>
          <w:highlight w:val="none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highlight w:val="none"/>
        </w:rPr>
        <w:t>酸不溶性灰分</w:t>
      </w:r>
      <w:r>
        <w:rPr>
          <w:rFonts w:hint="eastAsia" w:ascii="黑体" w:hAnsi="黑体" w:eastAsia="黑体" w:cs="黑体"/>
          <w:b/>
          <w:sz w:val="24"/>
          <w:highlight w:val="none"/>
        </w:rPr>
        <w:t xml:space="preserve"> </w:t>
      </w:r>
      <w:r>
        <w:rPr>
          <w:rFonts w:hAnsi="宋体" w:eastAsia="宋体"/>
          <w:sz w:val="24"/>
          <w:highlight w:val="none"/>
        </w:rPr>
        <w:t>不得过</w:t>
      </w:r>
      <w:r>
        <w:rPr>
          <w:rFonts w:hint="eastAsia" w:ascii="Times New Roman" w:hAnsi="Times New Roman" w:eastAsia="宋体"/>
          <w:sz w:val="24"/>
          <w:highlight w:val="none"/>
          <w:lang w:val="en-US" w:eastAsia="zh-CN"/>
        </w:rPr>
        <w:t>2</w:t>
      </w:r>
      <w:r>
        <w:rPr>
          <w:rFonts w:ascii="Times New Roman" w:hAnsi="Times New Roman" w:eastAsia="宋体"/>
          <w:sz w:val="24"/>
          <w:highlight w:val="none"/>
        </w:rPr>
        <w:t>.0</w:t>
      </w:r>
      <w:r>
        <w:rPr>
          <w:rFonts w:hint="eastAsia" w:hAnsi="宋体" w:eastAsia="宋体"/>
          <w:sz w:val="24"/>
          <w:highlight w:val="none"/>
          <w:lang w:val="en-US" w:eastAsia="zh-CN"/>
        </w:rPr>
        <w:t>%</w:t>
      </w:r>
      <w:r>
        <w:rPr>
          <w:rFonts w:hAnsi="宋体" w:eastAsia="宋体"/>
          <w:sz w:val="24"/>
          <w:highlight w:val="none"/>
        </w:rPr>
        <w:t>（</w:t>
      </w:r>
      <w:r>
        <w:rPr>
          <w:rFonts w:ascii="Times New Roman" w:hAnsi="Times New Roman" w:eastAsia="宋体" w:cs="Times New Roman"/>
          <w:sz w:val="24"/>
          <w:highlight w:val="none"/>
        </w:rPr>
        <w:t>《中国药典》</w:t>
      </w:r>
      <w:r>
        <w:rPr>
          <w:rFonts w:ascii="Times New Roman" w:hAnsi="Times New Roman" w:eastAsia="宋体"/>
          <w:sz w:val="24"/>
          <w:highlight w:val="none"/>
        </w:rPr>
        <w:t>20</w:t>
      </w:r>
      <w:r>
        <w:rPr>
          <w:rFonts w:ascii="Times New Roman" w:hAnsi="Times New Roman"/>
          <w:sz w:val="24"/>
          <w:highlight w:val="none"/>
        </w:rPr>
        <w:t>2</w:t>
      </w:r>
      <w:r>
        <w:rPr>
          <w:rFonts w:hint="eastAsia" w:ascii="Times New Roman" w:hAnsi="Times New Roman"/>
          <w:sz w:val="24"/>
          <w:highlight w:val="none"/>
        </w:rPr>
        <w:t>5</w:t>
      </w:r>
      <w:r>
        <w:rPr>
          <w:rFonts w:hAnsi="宋体" w:eastAsia="宋体"/>
          <w:sz w:val="24"/>
          <w:highlight w:val="none"/>
        </w:rPr>
        <w:t>年版</w:t>
      </w:r>
      <w:r>
        <w:rPr>
          <w:rFonts w:hint="eastAsia" w:hAnsi="宋体" w:eastAsia="宋体"/>
          <w:sz w:val="24"/>
          <w:highlight w:val="none"/>
        </w:rPr>
        <w:t>通则</w:t>
      </w:r>
      <w:r>
        <w:rPr>
          <w:rFonts w:hint="eastAsia" w:ascii="Times New Roman" w:hAnsi="Times New Roman" w:eastAsia="宋体"/>
          <w:sz w:val="24"/>
          <w:highlight w:val="none"/>
        </w:rPr>
        <w:t>2302</w:t>
      </w:r>
      <w:r>
        <w:rPr>
          <w:rFonts w:hint="eastAsia" w:ascii="Times New Roman" w:hAnsi="Times New Roman" w:eastAsia="宋体"/>
          <w:sz w:val="24"/>
          <w:highlight w:val="none"/>
          <w:lang w:eastAsia="zh-CN"/>
        </w:rPr>
        <w:t>）。</w:t>
      </w:r>
    </w:p>
    <w:p w14:paraId="2BA44F5F">
      <w:pPr>
        <w:spacing w:line="360" w:lineRule="auto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highlight w:val="none"/>
        </w:rPr>
        <w:t>【浸出物】</w:t>
      </w:r>
      <w:r>
        <w:rPr>
          <w:rFonts w:hint="eastAsia" w:hAnsi="宋体" w:eastAsia="宋体"/>
          <w:sz w:val="24"/>
          <w:highlight w:val="none"/>
        </w:rPr>
        <w:t>照水溶性浸</w:t>
      </w:r>
      <w:r>
        <w:rPr>
          <w:rFonts w:hAnsi="宋体" w:eastAsia="宋体"/>
          <w:sz w:val="24"/>
          <w:highlight w:val="none"/>
        </w:rPr>
        <w:t>出物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测定</w:t>
      </w:r>
      <w:r>
        <w:rPr>
          <w:rFonts w:hAnsi="宋体" w:eastAsia="宋体"/>
          <w:sz w:val="24"/>
          <w:highlight w:val="none"/>
        </w:rPr>
        <w:t>法（</w:t>
      </w:r>
      <w:r>
        <w:rPr>
          <w:rFonts w:ascii="Times New Roman" w:hAnsi="Times New Roman" w:eastAsia="宋体" w:cs="Times New Roman"/>
          <w:sz w:val="24"/>
          <w:highlight w:val="none"/>
        </w:rPr>
        <w:t>《中国药典》</w:t>
      </w:r>
      <w:r>
        <w:rPr>
          <w:rFonts w:ascii="Times New Roman" w:hAnsi="Times New Roman"/>
          <w:sz w:val="24"/>
          <w:highlight w:val="none"/>
        </w:rPr>
        <w:t>202</w:t>
      </w:r>
      <w:r>
        <w:rPr>
          <w:rFonts w:hint="eastAsia" w:ascii="Times New Roman" w:hAnsi="Times New Roman"/>
          <w:sz w:val="24"/>
          <w:highlight w:val="none"/>
        </w:rPr>
        <w:t>5</w:t>
      </w:r>
      <w:r>
        <w:rPr>
          <w:rFonts w:hAnsi="宋体" w:eastAsia="宋体"/>
          <w:sz w:val="24"/>
          <w:highlight w:val="none"/>
        </w:rPr>
        <w:t>年版</w:t>
      </w:r>
      <w:r>
        <w:rPr>
          <w:rFonts w:hint="eastAsia" w:hAnsi="宋体" w:eastAsia="宋体"/>
          <w:sz w:val="24"/>
          <w:highlight w:val="none"/>
        </w:rPr>
        <w:t>通则</w:t>
      </w:r>
      <w:r>
        <w:rPr>
          <w:rFonts w:hint="eastAsia" w:ascii="Times New Roman" w:hAnsi="Times New Roman"/>
          <w:sz w:val="24"/>
          <w:highlight w:val="none"/>
        </w:rPr>
        <w:t>2201</w:t>
      </w:r>
      <w:r>
        <w:rPr>
          <w:rFonts w:hAnsi="宋体"/>
          <w:sz w:val="24"/>
          <w:highlight w:val="none"/>
        </w:rPr>
        <w:t>）</w:t>
      </w:r>
      <w:r>
        <w:rPr>
          <w:rFonts w:hAnsi="宋体" w:eastAsia="宋体"/>
          <w:sz w:val="24"/>
          <w:highlight w:val="none"/>
        </w:rPr>
        <w:t>项下</w:t>
      </w:r>
      <w:r>
        <w:rPr>
          <w:rFonts w:hint="eastAsia" w:hAnsi="宋体" w:eastAsia="宋体"/>
          <w:sz w:val="24"/>
          <w:highlight w:val="none"/>
          <w:lang w:val="en-US" w:eastAsia="zh-CN"/>
        </w:rPr>
        <w:t>的</w:t>
      </w:r>
      <w:r>
        <w:rPr>
          <w:rFonts w:hint="eastAsia" w:hAnsi="宋体" w:eastAsia="宋体"/>
          <w:sz w:val="24"/>
          <w:highlight w:val="none"/>
        </w:rPr>
        <w:t>热</w:t>
      </w:r>
      <w:r>
        <w:rPr>
          <w:rFonts w:hAnsi="宋体" w:eastAsia="宋体"/>
          <w:sz w:val="24"/>
          <w:highlight w:val="none"/>
        </w:rPr>
        <w:t>浸法测定</w:t>
      </w:r>
      <w:r>
        <w:rPr>
          <w:rFonts w:hint="eastAsia" w:hAnsi="宋体" w:eastAsia="宋体"/>
          <w:sz w:val="24"/>
          <w:highlight w:val="none"/>
        </w:rPr>
        <w:t>，</w:t>
      </w:r>
      <w:r>
        <w:rPr>
          <w:rFonts w:hAnsi="宋体" w:eastAsia="宋体"/>
          <w:sz w:val="24"/>
          <w:highlight w:val="none"/>
        </w:rPr>
        <w:t>不得少于</w:t>
      </w:r>
      <w:r>
        <w:rPr>
          <w:rFonts w:hint="eastAsia" w:ascii="Times New Roman" w:hAnsi="Times New Roman"/>
          <w:sz w:val="24"/>
          <w:highlight w:val="none"/>
        </w:rPr>
        <w:t>17.0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%</w:t>
      </w:r>
      <w:r>
        <w:rPr>
          <w:rFonts w:hAnsi="宋体"/>
          <w:sz w:val="24"/>
          <w:highlight w:val="none"/>
        </w:rPr>
        <w:t>。</w:t>
      </w:r>
    </w:p>
    <w:p w14:paraId="29D64AE9"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highlight w:val="none"/>
        </w:rPr>
        <w:t>【含量测定】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取本品约0.lg，精密称定，照氮测定法（</w:t>
      </w:r>
      <w:r>
        <w:rPr>
          <w:rFonts w:ascii="Times New Roman" w:hAnsi="Times New Roman" w:eastAsia="宋体" w:cs="Times New Roman"/>
          <w:sz w:val="24"/>
          <w:highlight w:val="none"/>
        </w:rPr>
        <w:t>《中国药典》</w:t>
      </w:r>
      <w:r>
        <w:rPr>
          <w:rFonts w:ascii="Times New Roman" w:hAnsi="Times New Roman"/>
          <w:sz w:val="24"/>
          <w:highlight w:val="none"/>
        </w:rPr>
        <w:t>202</w:t>
      </w:r>
      <w:r>
        <w:rPr>
          <w:rFonts w:hint="eastAsia" w:ascii="Times New Roman" w:hAnsi="Times New Roman"/>
          <w:sz w:val="24"/>
          <w:highlight w:val="none"/>
        </w:rPr>
        <w:t>5</w:t>
      </w:r>
      <w:r>
        <w:rPr>
          <w:rFonts w:hAnsi="宋体" w:eastAsia="宋体"/>
          <w:sz w:val="24"/>
          <w:highlight w:val="none"/>
        </w:rPr>
        <w:t>年版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通则0704第三法）测定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。</w:t>
      </w:r>
    </w:p>
    <w:p w14:paraId="5EB90543">
      <w:pPr>
        <w:spacing w:line="360" w:lineRule="auto"/>
        <w:ind w:left="239" w:leftChars="114" w:firstLine="240" w:firstLineChars="100"/>
        <w:rPr>
          <w:rFonts w:ascii="黑体" w:hAnsi="黑体" w:eastAsia="黑体" w:cs="黑体"/>
          <w:b/>
          <w:sz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按干燥品计算，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本品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含总氮（N）不得少于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.0%。</w:t>
      </w:r>
    </w:p>
    <w:p w14:paraId="1217726D">
      <w:pPr>
        <w:spacing w:line="360" w:lineRule="auto"/>
        <w:ind w:left="239" w:leftChars="114" w:firstLine="240" w:firstLineChars="100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szCs w:val="22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甘，温。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归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肝、肾经。</w:t>
      </w:r>
    </w:p>
    <w:p w14:paraId="5E225BAA"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szCs w:val="22"/>
        </w:rPr>
        <w:t>【功能与主治】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补肝肾，益精血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软坚散结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。主治虚劳羸瘦，阳痿，腰痛，眩晕，盗汗，崩漏带下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瘿瘤。</w:t>
      </w:r>
    </w:p>
    <w:p w14:paraId="1C73ECDD">
      <w:pPr>
        <w:spacing w:line="360" w:lineRule="auto"/>
        <w:ind w:left="239" w:leftChars="114" w:firstLine="240" w:firstLineChars="100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szCs w:val="22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15</w:t>
      </w:r>
      <w:r>
        <w:rPr>
          <w:rFonts w:hint="eastAsia" w:ascii="Times New Roman" w:hAnsi="Times New Roman" w:eastAsia="宋体" w:cs="Times New Roman"/>
          <w:sz w:val="24"/>
          <w:szCs w:val="24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50g。</w:t>
      </w:r>
    </w:p>
    <w:p w14:paraId="318B02F6">
      <w:pPr>
        <w:spacing w:line="360" w:lineRule="auto"/>
        <w:ind w:left="239" w:leftChars="114" w:firstLine="240" w:firstLineChars="100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szCs w:val="22"/>
          <w:lang w:val="en-US" w:eastAsia="zh-CN"/>
        </w:rPr>
        <w:t>注意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鱼、虾、蟹过敏者慎用。</w:t>
      </w:r>
    </w:p>
    <w:p w14:paraId="0AF3E44A">
      <w:pPr>
        <w:spacing w:line="360" w:lineRule="auto"/>
        <w:ind w:left="239" w:leftChars="114" w:firstLine="240" w:firstLineChars="100"/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szCs w:val="22"/>
          <w:lang w:val="en-US" w:eastAsia="zh-CN"/>
        </w:rPr>
        <w:t>贮藏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8C9"/>
    <w:rsid w:val="000A0FEE"/>
    <w:rsid w:val="000C24C6"/>
    <w:rsid w:val="00360635"/>
    <w:rsid w:val="003A054F"/>
    <w:rsid w:val="006478C9"/>
    <w:rsid w:val="009503C3"/>
    <w:rsid w:val="00B37F28"/>
    <w:rsid w:val="00CD0BE9"/>
    <w:rsid w:val="00D30B4C"/>
    <w:rsid w:val="00DA71D3"/>
    <w:rsid w:val="05C92A3E"/>
    <w:rsid w:val="0A287A2F"/>
    <w:rsid w:val="0AF728F8"/>
    <w:rsid w:val="10FE14EA"/>
    <w:rsid w:val="113C1C85"/>
    <w:rsid w:val="14EF0C5B"/>
    <w:rsid w:val="1A815C52"/>
    <w:rsid w:val="1B5D1D34"/>
    <w:rsid w:val="1BAF1D5E"/>
    <w:rsid w:val="1D0F42E5"/>
    <w:rsid w:val="1EFC5720"/>
    <w:rsid w:val="20AA40FF"/>
    <w:rsid w:val="248F4E23"/>
    <w:rsid w:val="286D07E3"/>
    <w:rsid w:val="29466967"/>
    <w:rsid w:val="2A43063C"/>
    <w:rsid w:val="2AC52B28"/>
    <w:rsid w:val="2B1A6AAB"/>
    <w:rsid w:val="2D104627"/>
    <w:rsid w:val="2FB627D1"/>
    <w:rsid w:val="31214C75"/>
    <w:rsid w:val="34966E19"/>
    <w:rsid w:val="3A441EEF"/>
    <w:rsid w:val="3B8B205B"/>
    <w:rsid w:val="3FC77FF1"/>
    <w:rsid w:val="43EF0FE2"/>
    <w:rsid w:val="464B2231"/>
    <w:rsid w:val="49787384"/>
    <w:rsid w:val="49E25E3D"/>
    <w:rsid w:val="534E556B"/>
    <w:rsid w:val="55596546"/>
    <w:rsid w:val="5A587827"/>
    <w:rsid w:val="5CF12441"/>
    <w:rsid w:val="62141EE8"/>
    <w:rsid w:val="64A03CB6"/>
    <w:rsid w:val="68A72C3B"/>
    <w:rsid w:val="68D45F2D"/>
    <w:rsid w:val="6A1940F0"/>
    <w:rsid w:val="6B482C03"/>
    <w:rsid w:val="6D2F5E28"/>
    <w:rsid w:val="713A2FED"/>
    <w:rsid w:val="724063E2"/>
    <w:rsid w:val="72ED20ED"/>
    <w:rsid w:val="7358775B"/>
    <w:rsid w:val="743A7A9C"/>
    <w:rsid w:val="77F81E76"/>
    <w:rsid w:val="7831514A"/>
    <w:rsid w:val="7A292516"/>
    <w:rsid w:val="7AAF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i/>
      <w:iCs/>
      <w:color w:val="000000"/>
      <w:sz w:val="22"/>
      <w:szCs w:val="22"/>
      <w:u w:val="none"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21f3b409-019d-49a3-bcc7-37d87be67dbf</errorID>
      <errorWord>软体部</errorWord>
      <group>L1_AI</group>
      <groupName>深度校对</groupName>
      <ability>L2_AI_Grammar</ability>
      <abilityName>语法纠错</abilityName>
      <candidateList>
        <item>其软体部</item>
      </candidateList>
      <explain/>
      <paraID>72E1954F</paraID>
      <start>47</start>
      <end>50</end>
      <status>ignored</status>
      <modifiedWord/>
      <trackRevisions>false</trackRevisions>
    </reviewItem>
    <reviewItem>
      <errorID>e284e8e0-8a48-4176-a4a3-daee1c76454f</errorID>
      <errorWord>。</errorWord>
      <group>L1_AI</group>
      <groupName>深度校对</groupName>
      <ability>L2_AI_Punc</ability>
      <abilityName>标点纠错</abilityName>
      <candidateList>
        <item>；</item>
      </candidateList>
      <explain/>
      <paraID>48EC9AD3</paraID>
      <start>33</start>
      <end>34</end>
      <status>ignored</status>
      <modifiedWord/>
      <trackRevisions>false</trackRevisions>
    </reviewItem>
    <reviewItem>
      <errorID>94be6e15-3893-466d-b614-f60d0ce7f156</errorID>
      <errorWord>。</errorWord>
      <group>L1_AI</group>
      <groupName>深度校对</groupName>
      <ability>L2_AI_Punc</ability>
      <abilityName>标点纠错</abilityName>
      <candidateList>
        <item>，</item>
      </candidateList>
      <explain/>
      <paraID>29D64AE9</paraID>
      <start>50</start>
      <end>51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714ccc6c-6f5a-4400-a3ae-5fb5b52a55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629</Words>
  <Characters>757</Characters>
  <Lines>1</Lines>
  <Paragraphs>1</Paragraphs>
  <TotalTime>3</TotalTime>
  <ScaleCrop>false</ScaleCrop>
  <LinksUpToDate>false</LinksUpToDate>
  <CharactersWithSpaces>765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2025-10-24T07:02:00Z</dcterms:created>
  <dc:creator>Administrator</dc:creator>
  <cp:lastModifiedBy>木木</cp:lastModifiedBy>
  <dcterms:modified xsi:type="dcterms:W3CDTF">2025-11-22T03:16:43Z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B45F5170F55145FA9E09F613F6CDC16B_13</vt:lpwstr>
  </property>
</Properties>
</file>